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8E" w:rsidRDefault="00BC5B8E" w:rsidP="00BC5B8E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Tahoma"/>
          <w:b/>
          <w:color w:val="000000" w:themeColor="text1"/>
          <w:kern w:val="0"/>
          <w:sz w:val="24"/>
          <w:szCs w:val="28"/>
        </w:rPr>
      </w:pPr>
      <w:r w:rsidRPr="00BC5B8E">
        <w:rPr>
          <w:rFonts w:ascii="微软雅黑" w:eastAsia="微软雅黑" w:hAnsi="微软雅黑" w:cs="Tahoma" w:hint="eastAsia"/>
          <w:b/>
          <w:color w:val="000000" w:themeColor="text1"/>
          <w:kern w:val="0"/>
          <w:sz w:val="24"/>
          <w:szCs w:val="28"/>
        </w:rPr>
        <w:t>附件1：</w:t>
      </w:r>
      <w:bookmarkStart w:id="0" w:name="_GoBack"/>
      <w:r w:rsidRPr="00BC5B8E">
        <w:rPr>
          <w:rFonts w:ascii="微软雅黑" w:eastAsia="微软雅黑" w:hAnsi="微软雅黑" w:cs="Tahoma" w:hint="eastAsia"/>
          <w:b/>
          <w:color w:val="000000" w:themeColor="text1"/>
          <w:kern w:val="0"/>
          <w:sz w:val="24"/>
          <w:szCs w:val="28"/>
        </w:rPr>
        <w:t>上海外国语大学2018年招生本科专业（专业方向）一览表</w:t>
      </w:r>
      <w:bookmarkEnd w:id="0"/>
    </w:p>
    <w:p w:rsidR="00BC5B8E" w:rsidRPr="00BC5B8E" w:rsidRDefault="00BC5B8E" w:rsidP="00BC5B8E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Tahoma" w:hint="eastAsia"/>
          <w:b/>
          <w:color w:val="000000" w:themeColor="text1"/>
          <w:kern w:val="0"/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44"/>
        <w:gridCol w:w="4356"/>
        <w:gridCol w:w="4356"/>
      </w:tblGrid>
      <w:tr w:rsidR="00BC5B8E" w:rsidRPr="00B01976" w:rsidTr="00953F0A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 w:val="24"/>
                <w:szCs w:val="24"/>
              </w:rPr>
              <w:t> </w:t>
            </w:r>
            <w:r w:rsidRPr="00B0197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2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050203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德语</w:t>
            </w:r>
          </w:p>
        </w:tc>
        <w:tc>
          <w:tcPr>
            <w:tcW w:w="20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德语系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050203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德语（经济学）</w:t>
            </w:r>
          </w:p>
        </w:tc>
        <w:tc>
          <w:tcPr>
            <w:tcW w:w="20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050206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东方语学院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050209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050225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斯瓦希里语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050202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俄语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俄罗斯东欧中亚学院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050229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捷克语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050247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乌克兰语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050258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乌兹别克语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030101K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法学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法学院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050204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法语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法语系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120102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国际工商管理学院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120201K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120409T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030201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国际关系与公共事务学院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030202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国际政治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050103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国际教育学院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英语（英语教育方向）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050262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020401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国际金融贸易学院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020301K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120203K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020401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国际经济与贸易（日语）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日本文化经济学院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050207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050205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西方语系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050232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050238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意大利语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040104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新闻传播学院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050301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新闻学（国际新闻方向）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050302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050303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050306T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050201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20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英语学院</w:t>
            </w:r>
          </w:p>
        </w:tc>
      </w:tr>
      <w:tr w:rsidR="00BC5B8E" w:rsidRPr="00B01976" w:rsidTr="00953F0A"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050261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0197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翻译</w:t>
            </w:r>
          </w:p>
        </w:tc>
        <w:tc>
          <w:tcPr>
            <w:tcW w:w="20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E" w:rsidRPr="00B01976" w:rsidRDefault="00BC5B8E" w:rsidP="00953F0A">
            <w:pPr>
              <w:widowControl/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C5B8E" w:rsidRDefault="00BC5B8E">
      <w:pPr>
        <w:rPr>
          <w:rFonts w:hint="eastAsia"/>
        </w:rPr>
      </w:pPr>
    </w:p>
    <w:sectPr w:rsidR="00BC5B8E" w:rsidSect="00BC5B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8E"/>
    <w:rsid w:val="00BC5B8E"/>
    <w:rsid w:val="00E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59D4"/>
  <w15:chartTrackingRefBased/>
  <w15:docId w15:val="{064FADE9-438E-4516-B351-3474EF8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1</cp:revision>
  <dcterms:created xsi:type="dcterms:W3CDTF">2018-06-25T02:39:00Z</dcterms:created>
  <dcterms:modified xsi:type="dcterms:W3CDTF">2018-06-25T02:40:00Z</dcterms:modified>
</cp:coreProperties>
</file>