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480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/>
        </w:rPr>
        <w:t>2023年度转专业学生</w:t>
      </w: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  <w:t>学分认定标准</w:t>
      </w: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/>
        </w:rPr>
        <w:t>和工作流程</w:t>
      </w: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 xml:space="preserve">    一、学分认定标准：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直接认定：原专业修读课程的课程代码符合转入专业人才培养方案的，可直接进行认定，不需填入《上海外国语大学转专业学生学分认定表》中。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对应认定：原专业已取得课程学分，如需认定为新专业人才培养方案相应课程学分的，应符合以下原则：（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）学分对等；（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）课程内容和难度相似；（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）授课语言相同。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同时应由学生本人提出学分认定申请，填写《上海外国语大学转专业学生学分认定表》，经转入院系确认，报教务处备案。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通选认定：原专业已取得并且新专业未开设或无对应课程的其它课程学分，可由学生本人提出学分认定申请，填写《上海外国语大学转专业学生学分认定表》，认定为通识教育选修课程学分。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、学分认定工作流程：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转专业学生根据转入专业的人才培养方案，全面检查自己已修读的课程，并在各转入专业点的帮助下，明确自己的学分认定情况。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将需要“对应认定”的已修读课程信息填入《上海外国语大学转专业学生学分认定表》中，同时填写转入专业的对应课程信息。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 xml:space="preserve">3.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将需要“通选认定”的已修读课程信息填入《上海外国语大学转专业学生学分认定表》中，同时填写“通识选修课程”。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学生在《上海外国语大学转专业学生学分认定表》上签字确认，并交专业负责人审核签字后，将表格交至院系教学秘书处。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各院系教学秘书仔细核查认定情况，如有问题，及时反馈学生进行修改。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各院系教学秘书核查无误后，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将表格复印后，请院系教学负责人签字，并加盖院系公章后，交到教务处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教务处将在本科教务新管理系统对应模块上线后，统一在系统进行登记。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学生可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在本科教务新管理系统对应模块上线后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登录教务系统个人帐户，查看个人培养方案完成情况，并及时补足所缺学分。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ZDVkMWVmYjI2MzA4NGVjYmQ1YWQxMmJmNTNlYTQifQ=="/>
  </w:docVars>
  <w:rsids>
    <w:rsidRoot w:val="6B2B658C"/>
    <w:rsid w:val="6B2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2023-11-16T01:19:00Z</dcterms:created>
  <dc:creator>安妮</dc:creator>
  <cp:lastModifiedBy>安妮</cp:lastModifiedBy>
  <dcterms:modified xsi:type="dcterms:W3CDTF">2023-11-16T01:20:22Z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C590562817DC4E5098E56E79D82219DB_11</vt:lpwstr>
  </property>
</Properties>
</file>